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4599" w14:textId="77777777" w:rsidR="00FE067E" w:rsidRPr="00D2453B" w:rsidRDefault="003C6034" w:rsidP="00CC1F3B">
      <w:pPr>
        <w:pStyle w:val="TitlePageOrigin"/>
        <w:rPr>
          <w:color w:val="auto"/>
        </w:rPr>
      </w:pPr>
      <w:r w:rsidRPr="00D2453B">
        <w:rPr>
          <w:caps w:val="0"/>
          <w:color w:val="auto"/>
        </w:rPr>
        <w:t>WEST VIRGINIA LEGISLATURE</w:t>
      </w:r>
    </w:p>
    <w:p w14:paraId="7F45DB0A" w14:textId="77777777" w:rsidR="00CD36CF" w:rsidRPr="00D2453B" w:rsidRDefault="00CD36CF" w:rsidP="00CC1F3B">
      <w:pPr>
        <w:pStyle w:val="TitlePageSession"/>
        <w:rPr>
          <w:color w:val="auto"/>
        </w:rPr>
      </w:pPr>
      <w:r w:rsidRPr="00D2453B">
        <w:rPr>
          <w:color w:val="auto"/>
        </w:rPr>
        <w:t>20</w:t>
      </w:r>
      <w:r w:rsidR="00EC5E63" w:rsidRPr="00D2453B">
        <w:rPr>
          <w:color w:val="auto"/>
        </w:rPr>
        <w:t>2</w:t>
      </w:r>
      <w:r w:rsidR="00B71E6F" w:rsidRPr="00D2453B">
        <w:rPr>
          <w:color w:val="auto"/>
        </w:rPr>
        <w:t>3</w:t>
      </w:r>
      <w:r w:rsidRPr="00D2453B">
        <w:rPr>
          <w:color w:val="auto"/>
        </w:rPr>
        <w:t xml:space="preserve"> </w:t>
      </w:r>
      <w:r w:rsidR="003C6034" w:rsidRPr="00D2453B">
        <w:rPr>
          <w:caps w:val="0"/>
          <w:color w:val="auto"/>
        </w:rPr>
        <w:t>REGULAR SESSION</w:t>
      </w:r>
    </w:p>
    <w:p w14:paraId="35F11461" w14:textId="77777777" w:rsidR="00CD36CF" w:rsidRPr="00D2453B" w:rsidRDefault="003D5635" w:rsidP="00CC1F3B">
      <w:pPr>
        <w:pStyle w:val="TitlePageBillPrefix"/>
        <w:rPr>
          <w:color w:val="auto"/>
        </w:rPr>
      </w:pPr>
      <w:sdt>
        <w:sdtPr>
          <w:rPr>
            <w:color w:val="auto"/>
          </w:rPr>
          <w:tag w:val="IntroDate"/>
          <w:id w:val="-1236936958"/>
          <w:placeholder>
            <w:docPart w:val="C8F7FC9904D24EFFB7E1674D04CC975F"/>
          </w:placeholder>
          <w:text/>
        </w:sdtPr>
        <w:sdtEndPr/>
        <w:sdtContent>
          <w:r w:rsidR="00AE48A0" w:rsidRPr="00D2453B">
            <w:rPr>
              <w:color w:val="auto"/>
            </w:rPr>
            <w:t>Introduced</w:t>
          </w:r>
        </w:sdtContent>
      </w:sdt>
    </w:p>
    <w:p w14:paraId="7CA7AFEA" w14:textId="38D5BF48" w:rsidR="00CD36CF" w:rsidRPr="00D2453B" w:rsidRDefault="003D5635" w:rsidP="00CC1F3B">
      <w:pPr>
        <w:pStyle w:val="BillNumber"/>
        <w:rPr>
          <w:color w:val="auto"/>
        </w:rPr>
      </w:pPr>
      <w:sdt>
        <w:sdtPr>
          <w:rPr>
            <w:color w:val="auto"/>
          </w:rPr>
          <w:tag w:val="Chamber"/>
          <w:id w:val="893011969"/>
          <w:lock w:val="sdtLocked"/>
          <w:placeholder>
            <w:docPart w:val="83AF4251B1B446419AA5EB5C0D5CA91E"/>
          </w:placeholder>
          <w:dropDownList>
            <w:listItem w:displayText="House" w:value="House"/>
            <w:listItem w:displayText="Senate" w:value="Senate"/>
          </w:dropDownList>
        </w:sdtPr>
        <w:sdtEndPr/>
        <w:sdtContent>
          <w:r w:rsidR="00C33434" w:rsidRPr="00D2453B">
            <w:rPr>
              <w:color w:val="auto"/>
            </w:rPr>
            <w:t>House</w:t>
          </w:r>
        </w:sdtContent>
      </w:sdt>
      <w:r w:rsidR="00303684" w:rsidRPr="00D2453B">
        <w:rPr>
          <w:color w:val="auto"/>
        </w:rPr>
        <w:t xml:space="preserve"> </w:t>
      </w:r>
      <w:r w:rsidR="00CD36CF" w:rsidRPr="00D2453B">
        <w:rPr>
          <w:color w:val="auto"/>
        </w:rPr>
        <w:t xml:space="preserve">Bill </w:t>
      </w:r>
      <w:sdt>
        <w:sdtPr>
          <w:rPr>
            <w:color w:val="auto"/>
          </w:rPr>
          <w:tag w:val="BNum"/>
          <w:id w:val="1645317809"/>
          <w:lock w:val="sdtLocked"/>
          <w:placeholder>
            <w:docPart w:val="AB1BA05DA3F0433EA3AF6D6C177376D8"/>
          </w:placeholder>
          <w:text/>
        </w:sdtPr>
        <w:sdtEndPr/>
        <w:sdtContent>
          <w:r>
            <w:rPr>
              <w:color w:val="auto"/>
            </w:rPr>
            <w:t>3334</w:t>
          </w:r>
        </w:sdtContent>
      </w:sdt>
    </w:p>
    <w:p w14:paraId="4814ACAD" w14:textId="722C7D94" w:rsidR="00CD36CF" w:rsidRPr="00D2453B" w:rsidRDefault="00CD36CF" w:rsidP="00CC1F3B">
      <w:pPr>
        <w:pStyle w:val="Sponsors"/>
        <w:rPr>
          <w:color w:val="auto"/>
        </w:rPr>
      </w:pPr>
      <w:r w:rsidRPr="00D2453B">
        <w:rPr>
          <w:color w:val="auto"/>
        </w:rPr>
        <w:t xml:space="preserve">By </w:t>
      </w:r>
      <w:sdt>
        <w:sdtPr>
          <w:rPr>
            <w:color w:val="auto"/>
          </w:rPr>
          <w:tag w:val="Sponsors"/>
          <w:id w:val="1589585889"/>
          <w:placeholder>
            <w:docPart w:val="416534595D1143FA81A5EBD0C5B756A4"/>
          </w:placeholder>
          <w:text w:multiLine="1"/>
        </w:sdtPr>
        <w:sdtEndPr/>
        <w:sdtContent>
          <w:r w:rsidR="00C71809" w:rsidRPr="00D2453B">
            <w:rPr>
              <w:color w:val="auto"/>
            </w:rPr>
            <w:t>Delegate</w:t>
          </w:r>
          <w:r w:rsidR="00217A9D">
            <w:rPr>
              <w:color w:val="auto"/>
            </w:rPr>
            <w:t>s</w:t>
          </w:r>
          <w:r w:rsidR="00C71809" w:rsidRPr="00D2453B">
            <w:rPr>
              <w:color w:val="auto"/>
            </w:rPr>
            <w:t xml:space="preserve"> Storch</w:t>
          </w:r>
          <w:r w:rsidR="00217A9D">
            <w:rPr>
              <w:color w:val="auto"/>
            </w:rPr>
            <w:t>, Criss, Hardy, Capito, Barnhart, Riley, Fluharty, Kelly, Fast, and Willis</w:t>
          </w:r>
        </w:sdtContent>
      </w:sdt>
    </w:p>
    <w:p w14:paraId="5C314EAC" w14:textId="62A643C2" w:rsidR="00E831B3" w:rsidRPr="00D2453B" w:rsidRDefault="00CD36CF" w:rsidP="00CC1F3B">
      <w:pPr>
        <w:pStyle w:val="References"/>
        <w:rPr>
          <w:color w:val="auto"/>
        </w:rPr>
      </w:pPr>
      <w:r w:rsidRPr="00D2453B">
        <w:rPr>
          <w:color w:val="auto"/>
        </w:rPr>
        <w:t>[</w:t>
      </w:r>
      <w:sdt>
        <w:sdtPr>
          <w:rPr>
            <w:color w:val="auto"/>
          </w:rPr>
          <w:tag w:val="References"/>
          <w:id w:val="-1043047873"/>
          <w:placeholder>
            <w:docPart w:val="DAC3F033177244E7B4F0860564599429"/>
          </w:placeholder>
          <w:text w:multiLine="1"/>
        </w:sdtPr>
        <w:sdtEndPr/>
        <w:sdtContent>
          <w:r w:rsidR="003D5635">
            <w:rPr>
              <w:color w:val="auto"/>
            </w:rPr>
            <w:t>Introduced February 08, 2023; Referred to the Committee on Energy and Manufacturing then Finance</w:t>
          </w:r>
        </w:sdtContent>
      </w:sdt>
      <w:r w:rsidRPr="00D2453B">
        <w:rPr>
          <w:color w:val="auto"/>
        </w:rPr>
        <w:t>]</w:t>
      </w:r>
    </w:p>
    <w:p w14:paraId="6AA416EA" w14:textId="2055A548" w:rsidR="00303684" w:rsidRPr="00D2453B" w:rsidRDefault="0000526A" w:rsidP="00CC1F3B">
      <w:pPr>
        <w:pStyle w:val="TitleSection"/>
        <w:rPr>
          <w:color w:val="auto"/>
        </w:rPr>
      </w:pPr>
      <w:r w:rsidRPr="00D2453B">
        <w:rPr>
          <w:color w:val="auto"/>
        </w:rPr>
        <w:lastRenderedPageBreak/>
        <w:t>A BILL</w:t>
      </w:r>
      <w:r w:rsidR="00C71809" w:rsidRPr="00D2453B">
        <w:rPr>
          <w:color w:val="auto"/>
        </w:rPr>
        <w:t xml:space="preserve"> to amend and reenact </w:t>
      </w:r>
      <w:r w:rsidR="006D6840" w:rsidRPr="00D2453B">
        <w:rPr>
          <w:color w:val="auto"/>
        </w:rPr>
        <w:t>§11-1C-10</w:t>
      </w:r>
      <w:r w:rsidR="00C71809" w:rsidRPr="00D2453B">
        <w:rPr>
          <w:color w:val="auto"/>
        </w:rPr>
        <w:t xml:space="preserve"> of the Code of West Virginia, 1931, as amended</w:t>
      </w:r>
      <w:r w:rsidR="006D6840" w:rsidRPr="00D2453B">
        <w:rPr>
          <w:color w:val="auto"/>
        </w:rPr>
        <w:t xml:space="preserve">, relating to </w:t>
      </w:r>
      <w:r w:rsidR="006C3029" w:rsidRPr="00D2453B">
        <w:rPr>
          <w:color w:val="auto"/>
        </w:rPr>
        <w:t xml:space="preserve">valuation of industrial property and natural resources property by Tax Commissioner; providing that </w:t>
      </w:r>
      <w:r w:rsidR="006C3029" w:rsidRPr="00D2453B">
        <w:rPr>
          <w:rFonts w:cs="Arial"/>
          <w:color w:val="auto"/>
        </w:rPr>
        <w:t>appraised value of the royalty interest may not exceed the average actual sale price of similarly situated and like royalty interests.; and that t</w:t>
      </w:r>
      <w:r w:rsidR="006C3029" w:rsidRPr="00D2453B">
        <w:rPr>
          <w:color w:val="auto"/>
        </w:rPr>
        <w:t>his subdivision shall be effective for all assessments made on or after July 1, 2022.</w:t>
      </w:r>
    </w:p>
    <w:p w14:paraId="34100792" w14:textId="77777777" w:rsidR="00303684" w:rsidRPr="00D2453B" w:rsidRDefault="00303684" w:rsidP="00CC1F3B">
      <w:pPr>
        <w:pStyle w:val="EnactingClause"/>
        <w:rPr>
          <w:color w:val="auto"/>
        </w:rPr>
      </w:pPr>
      <w:r w:rsidRPr="00D2453B">
        <w:rPr>
          <w:color w:val="auto"/>
        </w:rPr>
        <w:t>Be it enacted by the Legislature of West Virginia:</w:t>
      </w:r>
    </w:p>
    <w:p w14:paraId="65FF297A" w14:textId="77777777" w:rsidR="003C6034" w:rsidRPr="00D2453B" w:rsidRDefault="003C6034" w:rsidP="00CC1F3B">
      <w:pPr>
        <w:pStyle w:val="EnactingClause"/>
        <w:rPr>
          <w:color w:val="auto"/>
        </w:rPr>
        <w:sectPr w:rsidR="003C6034" w:rsidRPr="00D2453B" w:rsidSect="006D68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CE38D5" w14:textId="77777777" w:rsidR="006D6840" w:rsidRPr="00D2453B" w:rsidRDefault="006D6840" w:rsidP="00157B36">
      <w:pPr>
        <w:pStyle w:val="ArticleHeading"/>
        <w:rPr>
          <w:color w:val="auto"/>
        </w:rPr>
        <w:sectPr w:rsidR="006D6840" w:rsidRPr="00D2453B" w:rsidSect="009413F5">
          <w:type w:val="continuous"/>
          <w:pgSz w:w="12240" w:h="15840" w:code="1"/>
          <w:pgMar w:top="1440" w:right="1440" w:bottom="1440" w:left="1440" w:header="720" w:footer="720" w:gutter="0"/>
          <w:lnNumType w:countBy="1" w:restart="newSection"/>
          <w:cols w:space="720"/>
          <w:titlePg/>
          <w:docGrid w:linePitch="360"/>
        </w:sectPr>
      </w:pPr>
      <w:r w:rsidRPr="00D2453B">
        <w:rPr>
          <w:color w:val="auto"/>
        </w:rPr>
        <w:t>ARTICLE 1C. FAIR AND EQUITABLE PROPERTY VALUATION.</w:t>
      </w:r>
    </w:p>
    <w:p w14:paraId="1D67C224" w14:textId="77777777" w:rsidR="006D6840" w:rsidRPr="00D2453B" w:rsidRDefault="006D6840" w:rsidP="00F70E00">
      <w:pPr>
        <w:pStyle w:val="SectionHeading"/>
        <w:rPr>
          <w:color w:val="auto"/>
        </w:rPr>
      </w:pPr>
      <w:r w:rsidRPr="00D2453B">
        <w:rPr>
          <w:bCs/>
          <w:color w:val="auto"/>
        </w:rPr>
        <w:t>§11-1C-10.</w:t>
      </w:r>
      <w:r w:rsidRPr="00D2453B">
        <w:rPr>
          <w:color w:val="auto"/>
        </w:rPr>
        <w:t xml:space="preserve"> Valuation of industrial property and natural resources property by Tax Commissioner; penalties; methods; values sent to assessors.</w:t>
      </w:r>
    </w:p>
    <w:p w14:paraId="308F95B4" w14:textId="77777777" w:rsidR="006D6840" w:rsidRPr="00D2453B" w:rsidRDefault="006D6840" w:rsidP="00F70E00">
      <w:pPr>
        <w:pStyle w:val="SectionBody"/>
        <w:rPr>
          <w:color w:val="auto"/>
        </w:rPr>
        <w:sectPr w:rsidR="006D6840" w:rsidRPr="00D2453B" w:rsidSect="00174812">
          <w:type w:val="continuous"/>
          <w:pgSz w:w="12240" w:h="15840" w:code="1"/>
          <w:pgMar w:top="1440" w:right="1440" w:bottom="1440" w:left="1440" w:header="720" w:footer="720" w:gutter="0"/>
          <w:lnNumType w:countBy="1" w:restart="newSection"/>
          <w:cols w:space="720"/>
          <w:titlePg/>
          <w:docGrid w:linePitch="360"/>
        </w:sectPr>
      </w:pPr>
    </w:p>
    <w:p w14:paraId="0F6EDDD4" w14:textId="77777777" w:rsidR="006D6840" w:rsidRPr="00D2453B" w:rsidRDefault="006D6840" w:rsidP="00F70E00">
      <w:pPr>
        <w:pStyle w:val="SectionBody"/>
        <w:rPr>
          <w:color w:val="auto"/>
        </w:rPr>
      </w:pPr>
      <w:r w:rsidRPr="00D2453B">
        <w:rPr>
          <w:color w:val="auto"/>
        </w:rPr>
        <w:t>(a) As used in this section:</w:t>
      </w:r>
    </w:p>
    <w:p w14:paraId="2B40D3C7" w14:textId="2AA3A138" w:rsidR="006D6840" w:rsidRPr="00D2453B" w:rsidRDefault="006D6840" w:rsidP="00F70E00">
      <w:pPr>
        <w:pStyle w:val="SectionBody"/>
        <w:rPr>
          <w:color w:val="auto"/>
        </w:rPr>
      </w:pPr>
      <w:r w:rsidRPr="00D2453B">
        <w:rPr>
          <w:strike/>
          <w:color w:val="auto"/>
        </w:rPr>
        <w:t>(1)</w:t>
      </w:r>
      <w:r w:rsidRPr="00D2453B">
        <w:rPr>
          <w:color w:val="auto"/>
        </w:rPr>
        <w:t xml:space="preserve"> </w:t>
      </w:r>
      <w:r w:rsidR="001465B8" w:rsidRPr="00D2453B">
        <w:rPr>
          <w:color w:val="auto"/>
        </w:rPr>
        <w:t>"</w:t>
      </w:r>
      <w:r w:rsidRPr="00D2453B">
        <w:rPr>
          <w:color w:val="auto"/>
        </w:rPr>
        <w:t>Industrial property</w:t>
      </w:r>
      <w:r w:rsidR="001465B8" w:rsidRPr="00D2453B">
        <w:rPr>
          <w:color w:val="auto"/>
        </w:rPr>
        <w:t>"</w:t>
      </w:r>
      <w:r w:rsidRPr="00D2453B">
        <w:rPr>
          <w:color w:val="auto"/>
        </w:rPr>
        <w:t xml:space="preserve"> means real and personal property integrated as a functioning unit intended for the assembling, processing and manufacturing of finished or partially finished products.</w:t>
      </w:r>
    </w:p>
    <w:p w14:paraId="710930E3" w14:textId="46BC951B" w:rsidR="006D6840" w:rsidRPr="00D2453B" w:rsidRDefault="006D6840" w:rsidP="00F70E00">
      <w:pPr>
        <w:pStyle w:val="SectionBody"/>
        <w:rPr>
          <w:color w:val="auto"/>
        </w:rPr>
      </w:pPr>
      <w:r w:rsidRPr="00D2453B">
        <w:rPr>
          <w:strike/>
          <w:color w:val="auto"/>
        </w:rPr>
        <w:t>(2)</w:t>
      </w:r>
      <w:r w:rsidRPr="00D2453B">
        <w:rPr>
          <w:color w:val="auto"/>
        </w:rPr>
        <w:t xml:space="preserve"> </w:t>
      </w:r>
      <w:r w:rsidR="001465B8" w:rsidRPr="00D2453B">
        <w:rPr>
          <w:color w:val="auto"/>
        </w:rPr>
        <w:t>"</w:t>
      </w:r>
      <w:r w:rsidRPr="00D2453B">
        <w:rPr>
          <w:color w:val="auto"/>
        </w:rPr>
        <w:t>Natural resources property</w:t>
      </w:r>
      <w:r w:rsidR="001465B8" w:rsidRPr="00D2453B">
        <w:rPr>
          <w:color w:val="auto"/>
        </w:rPr>
        <w:t>"</w:t>
      </w:r>
      <w:r w:rsidRPr="00D2453B">
        <w:rPr>
          <w:color w:val="auto"/>
        </w:rPr>
        <w:t xml:space="preserve"> means coal, oil, natural gas, limestone, fireclay, dolomite, sandstone, shale, sand and gravel, salt, lead, zinc, manganese, iron ore, radioactive minerals, oil shale, managed timberland as defined in section two of this article, and other minerals.</w:t>
      </w:r>
    </w:p>
    <w:p w14:paraId="08A56C21" w14:textId="77777777" w:rsidR="006D6840" w:rsidRPr="00D2453B" w:rsidRDefault="006D6840" w:rsidP="00F70E00">
      <w:pPr>
        <w:pStyle w:val="SectionBody"/>
        <w:rPr>
          <w:color w:val="auto"/>
        </w:rPr>
      </w:pPr>
      <w:r w:rsidRPr="00D2453B">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4D31E49C" w14:textId="27A8CC1C" w:rsidR="006D6840" w:rsidRPr="00D2453B" w:rsidRDefault="006D6840" w:rsidP="00F70E00">
      <w:pPr>
        <w:pStyle w:val="SectionBody"/>
        <w:rPr>
          <w:color w:val="auto"/>
        </w:rPr>
      </w:pPr>
      <w:r w:rsidRPr="00D2453B">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such property. The Tax Commissioner shall forward each industrial property appraisal to the county assessor of the county in which that property is located and the assessor shall multiply each such appraisal by </w:t>
      </w:r>
      <w:r w:rsidR="006C3029" w:rsidRPr="00D2453B">
        <w:rPr>
          <w:color w:val="auto"/>
        </w:rPr>
        <w:t>60</w:t>
      </w:r>
      <w:r w:rsidRPr="00D2453B">
        <w:rPr>
          <w:color w:val="auto"/>
        </w:rPr>
        <w:t xml:space="preserve"> percent and include the resulting assessed value in the land book or the personal property book, as appropriate for each tax year. The commissioner shall supply support data that the assessor might need to evaluate the appraisal.</w:t>
      </w:r>
    </w:p>
    <w:p w14:paraId="0E1C1E79" w14:textId="77777777" w:rsidR="006D6840" w:rsidRPr="00D2453B" w:rsidRDefault="006D6840" w:rsidP="00F70E00">
      <w:pPr>
        <w:pStyle w:val="SectionBody"/>
        <w:rPr>
          <w:color w:val="auto"/>
        </w:rPr>
      </w:pPr>
      <w:r w:rsidRPr="00D2453B">
        <w:rPr>
          <w:color w:val="auto"/>
        </w:rPr>
        <w:t xml:space="preserve">(d) Within three years of the approval date of the plan required for natural resources property required pursuant to subsection (e) of this section, the State Tax Commissioner shall determine the fair market value of all natural resources property in the state and thereafter maintain accurate values for all such property.  </w:t>
      </w:r>
    </w:p>
    <w:p w14:paraId="67C9CDB7" w14:textId="3DCA4317" w:rsidR="006D6840" w:rsidRPr="00D2453B" w:rsidRDefault="006D6840" w:rsidP="00F70E00">
      <w:pPr>
        <w:pStyle w:val="SectionBody"/>
        <w:rPr>
          <w:color w:val="auto"/>
        </w:rPr>
      </w:pPr>
      <w:r w:rsidRPr="00D2453B">
        <w:rPr>
          <w:color w:val="auto"/>
        </w:rPr>
        <w:t xml:space="preserve">(1) In order to qualify for identification as managed timberland for property tax purposes the owner must annually certify,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w:t>
      </w:r>
      <w:r w:rsidR="001465B8" w:rsidRPr="00D2453B">
        <w:rPr>
          <w:color w:val="auto"/>
        </w:rPr>
        <w:t>"</w:t>
      </w:r>
      <w:r w:rsidRPr="00D2453B">
        <w:rPr>
          <w:color w:val="auto"/>
        </w:rPr>
        <w:t>Best Management Practices for Forestry</w:t>
      </w:r>
      <w:r w:rsidR="001465B8" w:rsidRPr="00D2453B">
        <w:rPr>
          <w:color w:val="auto"/>
        </w:rPr>
        <w:t>"</w:t>
      </w:r>
      <w:r w:rsidRPr="00D2453B">
        <w:rPr>
          <w:color w:val="auto"/>
        </w:rPr>
        <w:t>. Property certified as managed timberland shall be valued according to its use and productive potential. The Tax Commissioner shall promulgate rules for certification as managed timberland.</w:t>
      </w:r>
    </w:p>
    <w:p w14:paraId="43E5C371" w14:textId="77777777" w:rsidR="006D6840" w:rsidRPr="00D2453B" w:rsidRDefault="006D6840" w:rsidP="00F70E00">
      <w:pPr>
        <w:pStyle w:val="SectionBody"/>
        <w:rPr>
          <w:color w:val="auto"/>
        </w:rPr>
      </w:pPr>
      <w:r w:rsidRPr="00D2453B">
        <w:rPr>
          <w:color w:val="auto"/>
        </w:rPr>
        <w:t>(2) In the case of all other natural resources property, the commissioner shall develop an inventory on a county by county basis of all such property and may use any resources, including, but not limited to, geological survey information; exploratory, drilling, mining and other information supplied by natural resources property owners; and maps and other information on file with the state Division of Environmental Protection and office of miners’ health, safety and training. Any information supplied by natural resources owners or any proprietary or otherwise privileged information supplied by the state Division of Environmental Protection and office of miner’s health, safety and training shall be kept confidential unless needed to defend an appraisal challenged by a natural resources owner. Formulas for natural resources valuation may contain differing variables based upon known geological or other common factors. The Tax Commissioner shall forward each natural resources property appraisal to the county assessor of the county in which that property is located and the assessor shall multiply each such appraisal by sixty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60879759" w14:textId="77777777" w:rsidR="006D6840" w:rsidRPr="00D2453B" w:rsidRDefault="006D6840" w:rsidP="00F70E00">
      <w:pPr>
        <w:pStyle w:val="SectionBody"/>
        <w:rPr>
          <w:iCs/>
          <w:color w:val="auto"/>
        </w:rPr>
      </w:pPr>
      <w:r w:rsidRPr="00D2453B">
        <w:rPr>
          <w:color w:val="auto"/>
        </w:rPr>
        <w:t xml:space="preserve">(3) </w:t>
      </w:r>
      <w:r w:rsidRPr="00D2453B">
        <w:rPr>
          <w:iCs/>
          <w:color w:val="auto"/>
        </w:rPr>
        <w:t>Property producing oil, natural gas, natural gas liquids-</w:t>
      </w:r>
    </w:p>
    <w:p w14:paraId="4CC60E3E" w14:textId="77777777" w:rsidR="006D6840" w:rsidRPr="00D2453B" w:rsidRDefault="006D6840" w:rsidP="00F70E00">
      <w:pPr>
        <w:pStyle w:val="SectionBody"/>
        <w:rPr>
          <w:color w:val="auto"/>
        </w:rPr>
      </w:pPr>
      <w:r w:rsidRPr="00D2453B">
        <w:rPr>
          <w:color w:val="auto"/>
        </w:rPr>
        <w:t xml:space="preserve">(A) The Tax Commissioner shall value property producing </w:t>
      </w:r>
      <w:bookmarkStart w:id="0" w:name="_Hlk96588996"/>
      <w:r w:rsidRPr="00D2453B">
        <w:rPr>
          <w:color w:val="auto"/>
        </w:rPr>
        <w:t>oil, natural gas, natural gas liquids, or any combination thereof</w:t>
      </w:r>
      <w:bookmarkEnd w:id="0"/>
      <w:r w:rsidRPr="00D2453B">
        <w:rPr>
          <w:color w:val="auto"/>
        </w:rPr>
        <w:t xml:space="preserve"> in the state at its fair market value determined through the process of applying a yield capitalization model to the net proceeds. </w:t>
      </w:r>
    </w:p>
    <w:p w14:paraId="651D435A" w14:textId="77777777" w:rsidR="006D6840" w:rsidRPr="00D2453B" w:rsidRDefault="006D6840" w:rsidP="00F70E00">
      <w:pPr>
        <w:pStyle w:val="SectionBody"/>
        <w:rPr>
          <w:color w:val="auto"/>
        </w:rPr>
      </w:pPr>
      <w:r w:rsidRPr="00D2453B">
        <w:rPr>
          <w:color w:val="auto"/>
        </w:rPr>
        <w:t>(B) For the purposes of this subdivision:</w:t>
      </w:r>
    </w:p>
    <w:p w14:paraId="2EADC3F0" w14:textId="600879FD" w:rsidR="006D6840" w:rsidRPr="00D2453B" w:rsidRDefault="006D6840" w:rsidP="00F70E00">
      <w:pPr>
        <w:pStyle w:val="SectionBody"/>
        <w:rPr>
          <w:color w:val="auto"/>
        </w:rPr>
      </w:pPr>
      <w:r w:rsidRPr="00D2453B">
        <w:rPr>
          <w:strike/>
          <w:color w:val="auto"/>
        </w:rPr>
        <w:t xml:space="preserve">(i) </w:t>
      </w:r>
      <w:r w:rsidR="001465B8" w:rsidRPr="00D2453B">
        <w:rPr>
          <w:color w:val="auto"/>
        </w:rPr>
        <w:t>"</w:t>
      </w:r>
      <w:r w:rsidRPr="00D2453B">
        <w:rPr>
          <w:color w:val="auto"/>
        </w:rPr>
        <w:t>Natural gas liquids</w:t>
      </w:r>
      <w:r w:rsidR="001465B8" w:rsidRPr="00D2453B">
        <w:rPr>
          <w:color w:val="auto"/>
        </w:rPr>
        <w:t>"</w:t>
      </w:r>
      <w:r w:rsidRPr="00D2453B">
        <w:rPr>
          <w:color w:val="auto"/>
        </w:rPr>
        <w:t xml:space="preserve"> means propane, ethane, butanes, and pentanes (also referred to as condensate), or a combination of them that are subject to recovery from raw gas liquids by processing in field separators, scrubbers, gas processing and reprocessing plants, or cycling plants.</w:t>
      </w:r>
    </w:p>
    <w:p w14:paraId="5B42ABC6" w14:textId="67CA9A3E" w:rsidR="006D6840" w:rsidRPr="00D2453B" w:rsidRDefault="006D6840" w:rsidP="00F70E00">
      <w:pPr>
        <w:pStyle w:val="SectionBody"/>
        <w:rPr>
          <w:color w:val="auto"/>
        </w:rPr>
      </w:pPr>
      <w:r w:rsidRPr="00D2453B">
        <w:rPr>
          <w:strike/>
          <w:color w:val="auto"/>
        </w:rPr>
        <w:t>(ii)</w:t>
      </w:r>
      <w:r w:rsidRPr="00D2453B">
        <w:rPr>
          <w:color w:val="auto"/>
        </w:rPr>
        <w:t xml:space="preserve"> </w:t>
      </w:r>
      <w:r w:rsidR="001465B8" w:rsidRPr="00D2453B">
        <w:rPr>
          <w:color w:val="auto"/>
        </w:rPr>
        <w:t>"</w:t>
      </w:r>
      <w:r w:rsidRPr="00D2453B">
        <w:rPr>
          <w:color w:val="auto"/>
        </w:rPr>
        <w:t>Actual annual operating costs</w:t>
      </w:r>
      <w:r w:rsidR="001465B8" w:rsidRPr="00D2453B">
        <w:rPr>
          <w:color w:val="auto"/>
        </w:rPr>
        <w:t>"</w:t>
      </w:r>
      <w:r w:rsidRPr="00D2453B">
        <w:rPr>
          <w:color w:val="auto"/>
        </w:rPr>
        <w:t xml:space="preserve"> shall include, without limitation, all lease operating expenses, lifting costs, gathering, compression, processing, separation, fractionation, and transportation costs; as further defined herein.</w:t>
      </w:r>
    </w:p>
    <w:p w14:paraId="27C49FC0" w14:textId="2465FCCD" w:rsidR="006D6840" w:rsidRPr="00D2453B" w:rsidRDefault="006D6840" w:rsidP="00F70E00">
      <w:pPr>
        <w:pStyle w:val="SectionBody"/>
        <w:rPr>
          <w:color w:val="auto"/>
        </w:rPr>
      </w:pPr>
      <w:r w:rsidRPr="00D2453B">
        <w:rPr>
          <w:strike/>
          <w:color w:val="auto"/>
        </w:rPr>
        <w:t>(iii)</w:t>
      </w:r>
      <w:r w:rsidRPr="00D2453B">
        <w:rPr>
          <w:color w:val="auto"/>
        </w:rPr>
        <w:t xml:space="preserve"> </w:t>
      </w:r>
      <w:r w:rsidR="001465B8" w:rsidRPr="00D2453B">
        <w:rPr>
          <w:color w:val="auto"/>
        </w:rPr>
        <w:t>"</w:t>
      </w:r>
      <w:r w:rsidRPr="00D2453B">
        <w:rPr>
          <w:color w:val="auto"/>
        </w:rPr>
        <w:t>Net proceeds</w:t>
      </w:r>
      <w:r w:rsidR="001465B8" w:rsidRPr="00D2453B">
        <w:rPr>
          <w:color w:val="auto"/>
        </w:rPr>
        <w:t>"</w:t>
      </w:r>
      <w:r w:rsidRPr="00D2453B">
        <w:rPr>
          <w:color w:val="auto"/>
        </w:rPr>
        <w:t xml:space="preserve"> means actual gross receipts on a sales volume basis determined from the actual price received by the taxpayers as reported on the taxpayer’s returns, less royalty interest receipts, and less actual annual operating costs as reported on the taxpayer’s returns.</w:t>
      </w:r>
    </w:p>
    <w:p w14:paraId="3D3153E7" w14:textId="382BBF25" w:rsidR="006D6840" w:rsidRPr="00D2453B" w:rsidRDefault="006D6840" w:rsidP="00F70E00">
      <w:pPr>
        <w:pStyle w:val="SectionBody"/>
        <w:rPr>
          <w:color w:val="auto"/>
        </w:rPr>
      </w:pPr>
      <w:r w:rsidRPr="00D2453B">
        <w:rPr>
          <w:strike/>
          <w:color w:val="auto"/>
        </w:rPr>
        <w:t>(iv)</w:t>
      </w:r>
      <w:r w:rsidRPr="00D2453B">
        <w:rPr>
          <w:color w:val="auto"/>
        </w:rPr>
        <w:t xml:space="preserve"> </w:t>
      </w:r>
      <w:r w:rsidR="001465B8" w:rsidRPr="00D2453B">
        <w:rPr>
          <w:color w:val="auto"/>
        </w:rPr>
        <w:t>"</w:t>
      </w:r>
      <w:r w:rsidRPr="00D2453B">
        <w:rPr>
          <w:color w:val="auto"/>
        </w:rPr>
        <w:t>Royalty interest receipts</w:t>
      </w:r>
      <w:r w:rsidR="001465B8" w:rsidRPr="00D2453B">
        <w:rPr>
          <w:color w:val="auto"/>
        </w:rPr>
        <w:t>"</w:t>
      </w:r>
      <w:r w:rsidRPr="00D2453B">
        <w:rPr>
          <w:color w:val="auto"/>
        </w:rPr>
        <w:t xml:space="preserve">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286CA5E0" w14:textId="209C470E" w:rsidR="006D6840" w:rsidRPr="00D2453B" w:rsidRDefault="006D6840" w:rsidP="00F70E00">
      <w:pPr>
        <w:pStyle w:val="SectionBody"/>
        <w:rPr>
          <w:color w:val="auto"/>
        </w:rPr>
      </w:pPr>
      <w:r w:rsidRPr="00D2453B">
        <w:rPr>
          <w:strike/>
          <w:color w:val="auto"/>
        </w:rPr>
        <w:t>(v)</w:t>
      </w:r>
      <w:r w:rsidRPr="00D2453B">
        <w:rPr>
          <w:color w:val="auto"/>
        </w:rPr>
        <w:t xml:space="preserve"> </w:t>
      </w:r>
      <w:r w:rsidR="001465B8" w:rsidRPr="00D2453B">
        <w:rPr>
          <w:color w:val="auto"/>
        </w:rPr>
        <w:t>"</w:t>
      </w:r>
      <w:r w:rsidRPr="00D2453B">
        <w:rPr>
          <w:color w:val="auto"/>
        </w:rPr>
        <w:t>Capitalization rate</w:t>
      </w:r>
      <w:r w:rsidR="001465B8" w:rsidRPr="00D2453B">
        <w:rPr>
          <w:color w:val="auto"/>
        </w:rPr>
        <w:t>"</w:t>
      </w:r>
      <w:r w:rsidRPr="00D2453B">
        <w:rPr>
          <w:color w:val="auto"/>
        </w:rPr>
        <w:t xml:space="preserve"> means a single state-wide capitalization rate for oil, natural gas, and natural gas liquids producing property, which shall be determined annually by the Tax Department based on a </w:t>
      </w:r>
      <w:r w:rsidR="001465B8" w:rsidRPr="00D2453B">
        <w:rPr>
          <w:color w:val="auto"/>
        </w:rPr>
        <w:t>"</w:t>
      </w:r>
      <w:r w:rsidRPr="00D2453B">
        <w:rPr>
          <w:color w:val="auto"/>
        </w:rPr>
        <w:t>Build-up-Model</w:t>
      </w:r>
      <w:r w:rsidR="001465B8" w:rsidRPr="00D2453B">
        <w:rPr>
          <w:color w:val="auto"/>
        </w:rPr>
        <w:t>"</w:t>
      </w:r>
      <w:r w:rsidRPr="00D2453B">
        <w:rPr>
          <w:color w:val="auto"/>
        </w:rPr>
        <w:t xml:space="preserve"> of the Weighted Average Cost of Capital (WACC). </w:t>
      </w:r>
    </w:p>
    <w:p w14:paraId="6B245DDC" w14:textId="142F743B" w:rsidR="006D6840" w:rsidRPr="00D2453B" w:rsidRDefault="006D6840" w:rsidP="00F70E00">
      <w:pPr>
        <w:pStyle w:val="SectionBody"/>
        <w:rPr>
          <w:color w:val="auto"/>
        </w:rPr>
      </w:pPr>
      <w:r w:rsidRPr="00D2453B">
        <w:rPr>
          <w:strike/>
          <w:color w:val="auto"/>
        </w:rPr>
        <w:t>(vi)</w:t>
      </w:r>
      <w:r w:rsidRPr="00D2453B">
        <w:rPr>
          <w:color w:val="auto"/>
        </w:rPr>
        <w:t xml:space="preserve"> </w:t>
      </w:r>
      <w:r w:rsidR="001465B8" w:rsidRPr="00D2453B">
        <w:rPr>
          <w:color w:val="auto"/>
        </w:rPr>
        <w:t>"</w:t>
      </w:r>
      <w:r w:rsidRPr="00D2453B">
        <w:rPr>
          <w:color w:val="auto"/>
        </w:rPr>
        <w:t>Lease operating expenses</w:t>
      </w:r>
      <w:r w:rsidR="001465B8" w:rsidRPr="00D2453B">
        <w:rPr>
          <w:color w:val="auto"/>
        </w:rPr>
        <w:t>"</w:t>
      </w:r>
      <w:r w:rsidRPr="00D2453B">
        <w:rPr>
          <w:color w:val="auto"/>
        </w:rPr>
        <w:t xml:space="preserve"> means the actual costs incurred to bring the subsurface minerals (oil, natural gas, and natural gas liquids) up to the surface and convert them to marketable products. Lease operating expenses refers to the costs of operating the wells and equipment. </w:t>
      </w:r>
      <w:r w:rsidR="001465B8" w:rsidRPr="00D2453B">
        <w:rPr>
          <w:color w:val="auto"/>
        </w:rPr>
        <w:t>"</w:t>
      </w:r>
      <w:r w:rsidRPr="00D2453B">
        <w:rPr>
          <w:color w:val="auto"/>
        </w:rPr>
        <w:t>Lease operating expenses</w:t>
      </w:r>
      <w:r w:rsidR="001465B8" w:rsidRPr="00D2453B">
        <w:rPr>
          <w:color w:val="auto"/>
        </w:rPr>
        <w:t>"</w:t>
      </w:r>
      <w:r w:rsidRPr="00D2453B">
        <w:rPr>
          <w:color w:val="auto"/>
        </w:rPr>
        <w:t xml:space="preserve">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6D31B8CE" w14:textId="715842A5" w:rsidR="006D6840" w:rsidRPr="00D2453B" w:rsidRDefault="006D6840" w:rsidP="00F70E00">
      <w:pPr>
        <w:pStyle w:val="SectionBody"/>
        <w:rPr>
          <w:color w:val="auto"/>
        </w:rPr>
      </w:pPr>
      <w:r w:rsidRPr="00D2453B">
        <w:rPr>
          <w:strike/>
          <w:color w:val="auto"/>
        </w:rPr>
        <w:t>(vii)</w:t>
      </w:r>
      <w:r w:rsidRPr="00D2453B">
        <w:rPr>
          <w:color w:val="auto"/>
        </w:rPr>
        <w:t xml:space="preserve"> </w:t>
      </w:r>
      <w:r w:rsidR="001465B8" w:rsidRPr="00D2453B">
        <w:rPr>
          <w:color w:val="auto"/>
        </w:rPr>
        <w:t>"</w:t>
      </w:r>
      <w:r w:rsidRPr="00D2453B">
        <w:rPr>
          <w:color w:val="auto"/>
        </w:rPr>
        <w:t>Lifting costs</w:t>
      </w:r>
      <w:r w:rsidR="001465B8" w:rsidRPr="00D2453B">
        <w:rPr>
          <w:color w:val="auto"/>
        </w:rPr>
        <w:t>"</w:t>
      </w:r>
      <w:r w:rsidRPr="00D2453B">
        <w:rPr>
          <w:color w:val="auto"/>
        </w:rPr>
        <w:t xml:space="preserve"> means the actual costs incurred to operate a well during production. </w:t>
      </w:r>
    </w:p>
    <w:p w14:paraId="278BA8A7" w14:textId="2F32E9B3" w:rsidR="006D6840" w:rsidRPr="00D2453B" w:rsidRDefault="006D6840" w:rsidP="00F70E00">
      <w:pPr>
        <w:pStyle w:val="SectionBody"/>
        <w:rPr>
          <w:color w:val="auto"/>
        </w:rPr>
      </w:pPr>
      <w:r w:rsidRPr="00D2453B">
        <w:rPr>
          <w:strike/>
          <w:color w:val="auto"/>
        </w:rPr>
        <w:t>(viii)</w:t>
      </w:r>
      <w:r w:rsidRPr="00D2453B">
        <w:rPr>
          <w:color w:val="auto"/>
        </w:rPr>
        <w:t xml:space="preserve"> </w:t>
      </w:r>
      <w:r w:rsidR="001465B8" w:rsidRPr="00D2453B">
        <w:rPr>
          <w:color w:val="auto"/>
        </w:rPr>
        <w:t>"</w:t>
      </w:r>
      <w:r w:rsidRPr="00D2453B">
        <w:rPr>
          <w:color w:val="auto"/>
        </w:rPr>
        <w:t>Gathering costs</w:t>
      </w:r>
      <w:r w:rsidR="001465B8" w:rsidRPr="00D2453B">
        <w:rPr>
          <w:color w:val="auto"/>
        </w:rPr>
        <w:t>"</w:t>
      </w:r>
      <w:r w:rsidRPr="00D2453B">
        <w:rPr>
          <w:color w:val="auto"/>
        </w:rPr>
        <w:t xml:space="preserve">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33D1E536" w14:textId="14ADC0D4" w:rsidR="006D6840" w:rsidRPr="00D2453B" w:rsidRDefault="006D6840" w:rsidP="00F70E00">
      <w:pPr>
        <w:pStyle w:val="SectionBody"/>
        <w:rPr>
          <w:color w:val="auto"/>
        </w:rPr>
      </w:pPr>
      <w:r w:rsidRPr="00D2453B">
        <w:rPr>
          <w:strike/>
          <w:color w:val="auto"/>
        </w:rPr>
        <w:t>(ix)</w:t>
      </w:r>
      <w:r w:rsidRPr="00D2453B">
        <w:rPr>
          <w:color w:val="auto"/>
        </w:rPr>
        <w:t xml:space="preserve"> </w:t>
      </w:r>
      <w:r w:rsidR="001465B8" w:rsidRPr="00D2453B">
        <w:rPr>
          <w:color w:val="auto"/>
        </w:rPr>
        <w:t>"</w:t>
      </w:r>
      <w:r w:rsidRPr="00D2453B">
        <w:rPr>
          <w:color w:val="auto"/>
        </w:rPr>
        <w:t>Compression costs</w:t>
      </w:r>
      <w:r w:rsidR="001465B8" w:rsidRPr="00D2453B">
        <w:rPr>
          <w:color w:val="auto"/>
        </w:rPr>
        <w:t>"</w:t>
      </w:r>
      <w:r w:rsidRPr="00D2453B">
        <w:rPr>
          <w:color w:val="auto"/>
        </w:rPr>
        <w:t xml:space="preserve"> </w:t>
      </w:r>
      <w:r w:rsidRPr="00D2453B">
        <w:rPr>
          <w:strike/>
          <w:color w:val="auto"/>
        </w:rPr>
        <w:t>are</w:t>
      </w:r>
      <w:r w:rsidRPr="00D2453B">
        <w:rPr>
          <w:color w:val="auto"/>
        </w:rPr>
        <w:t xml:space="preserve"> </w:t>
      </w:r>
      <w:r w:rsidR="00FA7CA9" w:rsidRPr="00D2453B">
        <w:rPr>
          <w:color w:val="auto"/>
          <w:u w:val="single"/>
        </w:rPr>
        <w:t>means</w:t>
      </w:r>
      <w:r w:rsidR="00FA7CA9" w:rsidRPr="00D2453B">
        <w:rPr>
          <w:color w:val="auto"/>
        </w:rPr>
        <w:t xml:space="preserve"> </w:t>
      </w:r>
      <w:r w:rsidRPr="00D2453B">
        <w:rPr>
          <w:color w:val="auto"/>
        </w:rPr>
        <w:t xml:space="preserve">the actual costs in the process of raising the pressure of minerals. </w:t>
      </w:r>
    </w:p>
    <w:p w14:paraId="16531A97" w14:textId="1969CD62" w:rsidR="006D6840" w:rsidRPr="00D2453B" w:rsidRDefault="006D6840" w:rsidP="00F70E00">
      <w:pPr>
        <w:pStyle w:val="SectionBody"/>
        <w:rPr>
          <w:color w:val="auto"/>
        </w:rPr>
      </w:pPr>
      <w:r w:rsidRPr="00D2453B">
        <w:rPr>
          <w:strike/>
          <w:color w:val="auto"/>
        </w:rPr>
        <w:t>(x)</w:t>
      </w:r>
      <w:r w:rsidRPr="00D2453B">
        <w:rPr>
          <w:color w:val="auto"/>
        </w:rPr>
        <w:t xml:space="preserve"> </w:t>
      </w:r>
      <w:r w:rsidR="001465B8" w:rsidRPr="00D2453B">
        <w:rPr>
          <w:color w:val="auto"/>
        </w:rPr>
        <w:t>"</w:t>
      </w:r>
      <w:r w:rsidRPr="00D2453B">
        <w:rPr>
          <w:color w:val="auto"/>
        </w:rPr>
        <w:t>Processing, Separation and Fractionation costs</w:t>
      </w:r>
      <w:r w:rsidR="001465B8" w:rsidRPr="00D2453B">
        <w:rPr>
          <w:color w:val="auto"/>
        </w:rPr>
        <w:t>"</w:t>
      </w:r>
      <w:r w:rsidRPr="00D2453B">
        <w:rPr>
          <w:color w:val="auto"/>
        </w:rPr>
        <w:t xml:space="preserve"> means de-ethnization fees, processing or fractionation fees, pipeline or transportation fees, fuel fees, and electric fees charged by a processing or fractionation plant to the producer. </w:t>
      </w:r>
    </w:p>
    <w:p w14:paraId="0D2FE1C2" w14:textId="4E155FE6" w:rsidR="006D6840" w:rsidRPr="00D2453B" w:rsidRDefault="006D6840" w:rsidP="00F70E00">
      <w:pPr>
        <w:pStyle w:val="SectionBody"/>
        <w:rPr>
          <w:color w:val="auto"/>
        </w:rPr>
      </w:pPr>
      <w:r w:rsidRPr="00D2453B">
        <w:rPr>
          <w:strike/>
          <w:color w:val="auto"/>
        </w:rPr>
        <w:t>(xi)</w:t>
      </w:r>
      <w:r w:rsidRPr="00D2453B">
        <w:rPr>
          <w:color w:val="auto"/>
        </w:rPr>
        <w:t xml:space="preserve"> </w:t>
      </w:r>
      <w:r w:rsidR="001465B8" w:rsidRPr="00D2453B">
        <w:rPr>
          <w:color w:val="auto"/>
        </w:rPr>
        <w:t>"</w:t>
      </w:r>
      <w:r w:rsidRPr="00D2453B">
        <w:rPr>
          <w:color w:val="auto"/>
        </w:rPr>
        <w:t>Fractionation costs</w:t>
      </w:r>
      <w:r w:rsidR="001465B8" w:rsidRPr="00D2453B">
        <w:rPr>
          <w:color w:val="auto"/>
        </w:rPr>
        <w:t>"</w:t>
      </w:r>
      <w:r w:rsidRPr="00D2453B">
        <w:rPr>
          <w:color w:val="auto"/>
        </w:rPr>
        <w:t xml:space="preserve">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00F48D39" w14:textId="39A7BF0C" w:rsidR="006D6840" w:rsidRPr="00D2453B" w:rsidRDefault="006D6840" w:rsidP="00F70E00">
      <w:pPr>
        <w:pStyle w:val="SectionBody"/>
        <w:rPr>
          <w:color w:val="auto"/>
        </w:rPr>
      </w:pPr>
      <w:r w:rsidRPr="00D2453B">
        <w:rPr>
          <w:strike/>
          <w:color w:val="auto"/>
        </w:rPr>
        <w:t>(xii)</w:t>
      </w:r>
      <w:r w:rsidRPr="00D2453B">
        <w:rPr>
          <w:color w:val="auto"/>
        </w:rPr>
        <w:t xml:space="preserve"> </w:t>
      </w:r>
      <w:r w:rsidR="001465B8" w:rsidRPr="00D2453B">
        <w:rPr>
          <w:color w:val="auto"/>
        </w:rPr>
        <w:t>"</w:t>
      </w:r>
      <w:r w:rsidRPr="00D2453B">
        <w:rPr>
          <w:color w:val="auto"/>
        </w:rPr>
        <w:t>Processing costs</w:t>
      </w:r>
      <w:r w:rsidR="001465B8" w:rsidRPr="00D2453B">
        <w:rPr>
          <w:color w:val="auto"/>
        </w:rPr>
        <w:t>"</w:t>
      </w:r>
      <w:r w:rsidRPr="00D2453B">
        <w:rPr>
          <w:color w:val="auto"/>
        </w:rPr>
        <w:t xml:space="preserve">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 stabilizing, compression, and separation which occurs within a processing facility. </w:t>
      </w:r>
    </w:p>
    <w:p w14:paraId="40DA6A98" w14:textId="27021190" w:rsidR="006D6840" w:rsidRPr="00D2453B" w:rsidRDefault="006D6840" w:rsidP="00F70E00">
      <w:pPr>
        <w:pStyle w:val="SectionBody"/>
        <w:rPr>
          <w:color w:val="auto"/>
        </w:rPr>
      </w:pPr>
      <w:r w:rsidRPr="00D2453B">
        <w:rPr>
          <w:strike/>
          <w:color w:val="auto"/>
        </w:rPr>
        <w:t>(xiii)</w:t>
      </w:r>
      <w:r w:rsidRPr="00D2453B">
        <w:rPr>
          <w:color w:val="auto"/>
        </w:rPr>
        <w:t xml:space="preserve"> </w:t>
      </w:r>
      <w:r w:rsidR="001465B8" w:rsidRPr="00D2453B">
        <w:rPr>
          <w:color w:val="auto"/>
        </w:rPr>
        <w:t>"</w:t>
      </w:r>
      <w:r w:rsidRPr="00D2453B">
        <w:rPr>
          <w:color w:val="auto"/>
        </w:rPr>
        <w:t>Transportation costs</w:t>
      </w:r>
      <w:r w:rsidR="001465B8" w:rsidRPr="00D2453B">
        <w:rPr>
          <w:color w:val="auto"/>
        </w:rPr>
        <w:t>"</w:t>
      </w:r>
      <w:r w:rsidRPr="00D2453B">
        <w:rPr>
          <w:color w:val="auto"/>
        </w:rPr>
        <w:t xml:space="preserve"> means the actual costs of moving oil, natural gas, natural gas liquids, unprocessed gas, residue gas, or gas plant products or any combination thereof to a point of sale.</w:t>
      </w:r>
    </w:p>
    <w:p w14:paraId="16382D7A" w14:textId="1ADFDBA9" w:rsidR="006D6840" w:rsidRPr="00D2453B" w:rsidRDefault="006D6840" w:rsidP="00F70E00">
      <w:pPr>
        <w:pStyle w:val="SectionBody"/>
        <w:rPr>
          <w:color w:val="auto"/>
        </w:rPr>
      </w:pPr>
      <w:r w:rsidRPr="00D2453B">
        <w:rPr>
          <w:strike/>
          <w:color w:val="auto"/>
        </w:rPr>
        <w:t>(xiv)</w:t>
      </w:r>
      <w:r w:rsidRPr="00D2453B">
        <w:rPr>
          <w:color w:val="auto"/>
        </w:rPr>
        <w:t xml:space="preserve"> </w:t>
      </w:r>
      <w:r w:rsidR="001465B8" w:rsidRPr="00D2453B">
        <w:rPr>
          <w:color w:val="auto"/>
        </w:rPr>
        <w:t>"</w:t>
      </w:r>
      <w:r w:rsidRPr="00D2453B">
        <w:rPr>
          <w:color w:val="auto"/>
        </w:rPr>
        <w:t>Marginal well</w:t>
      </w:r>
      <w:r w:rsidR="001465B8" w:rsidRPr="00D2453B">
        <w:rPr>
          <w:color w:val="auto"/>
        </w:rPr>
        <w:t>"</w:t>
      </w:r>
      <w:r w:rsidRPr="00D2453B">
        <w:rPr>
          <w:color w:val="auto"/>
        </w:rPr>
        <w:t xml:space="preserve"> means in the calendar year immediately preceding the July 1 assessment date a well with an average daily production of 2 barrels of oil or less and an average daily production of 10 MCF or less of natural gas.</w:t>
      </w:r>
    </w:p>
    <w:p w14:paraId="0435619D" w14:textId="77777777" w:rsidR="006D6840" w:rsidRPr="00D2453B" w:rsidRDefault="006D6840" w:rsidP="00F70E00">
      <w:pPr>
        <w:pStyle w:val="SectionBody"/>
        <w:rPr>
          <w:color w:val="auto"/>
        </w:rPr>
      </w:pPr>
      <w:r w:rsidRPr="00D2453B">
        <w:rPr>
          <w:color w:val="auto"/>
        </w:rPr>
        <w:t xml:space="preserve">(C) (i)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0EEE71AB" w14:textId="32538DC3" w:rsidR="006D6840" w:rsidRPr="00D2453B" w:rsidRDefault="006D6840" w:rsidP="00F70E00">
      <w:pPr>
        <w:pStyle w:val="SectionBody"/>
        <w:rPr>
          <w:color w:val="auto"/>
        </w:rPr>
      </w:pPr>
      <w:r w:rsidRPr="00D2453B">
        <w:rPr>
          <w:color w:val="auto"/>
        </w:rPr>
        <w:t xml:space="preserve">(I) The working interest model shall be calculated as the sum of the working interest net 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of net proceeds shall be the net proceeds for that product multiplied by a six month capitalization rate multiplier and an </w:t>
      </w:r>
      <w:r w:rsidR="00D46996" w:rsidRPr="00D2453B">
        <w:rPr>
          <w:color w:val="auto"/>
        </w:rPr>
        <w:t>18</w:t>
      </w:r>
      <w:r w:rsidRPr="00D2453B">
        <w:rPr>
          <w:color w:val="auto"/>
        </w:rPr>
        <w:t xml:space="preserve"> month decline rate multiplier. </w:t>
      </w:r>
    </w:p>
    <w:p w14:paraId="6C8B7859" w14:textId="684EE16C" w:rsidR="006D6840" w:rsidRPr="00D2453B" w:rsidRDefault="006D6840" w:rsidP="00F70E00">
      <w:pPr>
        <w:pStyle w:val="SectionBody"/>
        <w:rPr>
          <w:color w:val="auto"/>
        </w:rPr>
      </w:pPr>
      <w:r w:rsidRPr="00D2453B">
        <w:rPr>
          <w:color w:val="auto"/>
        </w:rPr>
        <w:t xml:space="preserve">In each subsequent term of the net proceeds income series, the calculation shall use the value from the previous term and multiply that term by a capitalization rate multiplier and an applicable </w:t>
      </w:r>
      <w:r w:rsidR="00D46996" w:rsidRPr="00D2453B">
        <w:rPr>
          <w:color w:val="auto"/>
        </w:rPr>
        <w:t>12</w:t>
      </w:r>
      <w:r w:rsidRPr="00D2453B">
        <w:rPr>
          <w:color w:val="auto"/>
        </w:rPr>
        <w:t>-month decline rate multiplier.</w:t>
      </w:r>
    </w:p>
    <w:p w14:paraId="3D94D642" w14:textId="0BDFF7DC" w:rsidR="006D6840" w:rsidRPr="00D2453B" w:rsidRDefault="006D6840" w:rsidP="00F70E00">
      <w:pPr>
        <w:pStyle w:val="SectionBody"/>
        <w:rPr>
          <w:color w:val="auto"/>
        </w:rPr>
      </w:pPr>
      <w:r w:rsidRPr="00D2453B">
        <w:rPr>
          <w:color w:val="auto"/>
        </w:rPr>
        <w:t xml:space="preserve">(II) The royalty </w:t>
      </w:r>
      <w:bookmarkStart w:id="1" w:name="_Hlk96527368"/>
      <w:r w:rsidRPr="00D2453B">
        <w:rPr>
          <w:color w:val="auto"/>
        </w:rPr>
        <w:t xml:space="preserve">interest </w:t>
      </w:r>
      <w:bookmarkEnd w:id="1"/>
      <w:r w:rsidRPr="00D2453B">
        <w:rPr>
          <w:color w:val="auto"/>
        </w:rPr>
        <w:t>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six month capitalization rate multiplier and an eighteen month decline rate multiplier</w:t>
      </w:r>
      <w:r w:rsidRPr="00D2453B">
        <w:rPr>
          <w:rFonts w:cs="Arial"/>
          <w:color w:val="auto"/>
        </w:rPr>
        <w:t xml:space="preserve">. </w:t>
      </w:r>
      <w:r w:rsidR="0058061B" w:rsidRPr="00D2453B">
        <w:rPr>
          <w:rFonts w:cs="Arial"/>
          <w:color w:val="auto"/>
          <w:u w:val="single"/>
        </w:rPr>
        <w:t xml:space="preserve">However, in no case </w:t>
      </w:r>
      <w:r w:rsidR="006C3029" w:rsidRPr="00D2453B">
        <w:rPr>
          <w:rFonts w:cs="Arial"/>
          <w:color w:val="auto"/>
          <w:u w:val="single"/>
        </w:rPr>
        <w:t>may</w:t>
      </w:r>
      <w:r w:rsidR="0058061B" w:rsidRPr="00D2453B">
        <w:rPr>
          <w:rFonts w:cs="Arial"/>
          <w:color w:val="auto"/>
          <w:u w:val="single"/>
        </w:rPr>
        <w:t xml:space="preserve"> the appraised value of the royalty interest exceed the average actual sale price of similarly situated and like royalty interests.</w:t>
      </w:r>
    </w:p>
    <w:p w14:paraId="11EC796C" w14:textId="77777777" w:rsidR="006D6840" w:rsidRPr="00D2453B" w:rsidRDefault="006D6840" w:rsidP="00F70E00">
      <w:pPr>
        <w:pStyle w:val="SectionBody"/>
        <w:rPr>
          <w:color w:val="auto"/>
        </w:rPr>
      </w:pPr>
      <w:r w:rsidRPr="00D2453B">
        <w:rPr>
          <w:color w:val="auto"/>
        </w:rPr>
        <w:t>In each subsequent term of the royalty interest receipts income series, the calculation shall use the value from the previous term and multiply that term by a capitalization rate multiplier and an applicable twelve-month decline rate multiplier.</w:t>
      </w:r>
    </w:p>
    <w:p w14:paraId="37FAD6BD" w14:textId="77777777" w:rsidR="006D6840" w:rsidRPr="00D2453B" w:rsidRDefault="006D6840" w:rsidP="00F70E00">
      <w:pPr>
        <w:pStyle w:val="SectionBody"/>
        <w:rPr>
          <w:color w:val="auto"/>
        </w:rPr>
      </w:pPr>
      <w:r w:rsidRPr="00D2453B">
        <w:rPr>
          <w:color w:val="auto"/>
        </w:rPr>
        <w:t xml:space="preserve">(ii) </w:t>
      </w:r>
      <w:bookmarkStart w:id="2" w:name="_Hlk96534191"/>
      <w:r w:rsidRPr="00D2453B">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D2453B">
        <w:rPr>
          <w:color w:val="auto"/>
        </w:rPr>
        <w:t xml:space="preserve">Companies may provide additional actual gross receipts and actual operating expense information that will be supplemented or used in lieu of the Tax Commissioner annualization calculations. </w:t>
      </w:r>
    </w:p>
    <w:p w14:paraId="2D0CD479" w14:textId="246D76BE" w:rsidR="006D6840" w:rsidRPr="00D2453B" w:rsidRDefault="006D6840" w:rsidP="00F70E00">
      <w:pPr>
        <w:pStyle w:val="SectionBody"/>
        <w:rPr>
          <w:strike/>
          <w:color w:val="auto"/>
        </w:rPr>
      </w:pPr>
      <w:r w:rsidRPr="00D2453B">
        <w:rPr>
          <w:strike/>
          <w:color w:val="auto"/>
        </w:rPr>
        <w:t xml:space="preserve">(iii) </w:t>
      </w:r>
      <w:bookmarkStart w:id="3" w:name="_Hlk96534243"/>
      <w:r w:rsidRPr="00D2453B">
        <w:rPr>
          <w:strike/>
          <w:color w:val="auto"/>
        </w:rPr>
        <w:t xml:space="preserve">For all assessments made on or after July 1, 2024, but not before, the Tax Commissioner may not include a minimum valuation for any calculation related to determining the value of any well. </w:t>
      </w:r>
      <w:bookmarkEnd w:id="3"/>
      <w:r w:rsidRPr="00D2453B">
        <w:rPr>
          <w:strike/>
          <w:color w:val="auto"/>
        </w:rPr>
        <w:t>For all assessments made prior to July 1, 2024, no minimum valuation shall exceed the values of $0.30 per MCF of natural gas, $10.00 per barrel of oil, or $0.30 per unit of natural gas liquids, as established in a Notice to taxpayers from the State Tax Department dated on or about December 22, 2021</w:t>
      </w:r>
    </w:p>
    <w:p w14:paraId="603FE831" w14:textId="77777777" w:rsidR="006D6840" w:rsidRPr="00D2453B" w:rsidRDefault="006D6840" w:rsidP="00F70E00">
      <w:pPr>
        <w:pStyle w:val="SectionBody"/>
        <w:rPr>
          <w:color w:val="auto"/>
        </w:rPr>
      </w:pPr>
      <w:r w:rsidRPr="00D2453B">
        <w:rPr>
          <w:color w:val="auto"/>
        </w:rPr>
        <w:t xml:space="preserve">(D)  </w:t>
      </w:r>
      <w:r w:rsidRPr="00D2453B">
        <w:rPr>
          <w:iCs/>
          <w:color w:val="auto"/>
        </w:rPr>
        <w:t>Safe harbor</w:t>
      </w:r>
      <w:r w:rsidRPr="00D2453B">
        <w:rPr>
          <w:color w:val="auto"/>
        </w:rPr>
        <w:t>.  –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0EBB8F86" w14:textId="77777777" w:rsidR="006D6840" w:rsidRPr="00D2453B" w:rsidRDefault="006D6840" w:rsidP="00F70E00">
      <w:pPr>
        <w:pStyle w:val="SectionBody"/>
        <w:rPr>
          <w:color w:val="auto"/>
        </w:rPr>
      </w:pPr>
      <w:r w:rsidRPr="00D2453B">
        <w:rPr>
          <w:color w:val="auto"/>
        </w:rPr>
        <w:t>(E) The Tax Commissioner shall collect, retain, and report to the Speaker of the House of Delegates and the President of the Senate on or before April 1, 2023, and each April 1 thereafter, all information requested by the Division of Regulatory and Fiscal Affairs regarding the valuation of property producing oil, natural gas, natural gas liquids, or any combination thereof.</w:t>
      </w:r>
    </w:p>
    <w:p w14:paraId="4C7DB47D" w14:textId="653F03F9" w:rsidR="006D6840" w:rsidRPr="00D2453B" w:rsidRDefault="006D6840" w:rsidP="00F70E00">
      <w:pPr>
        <w:pStyle w:val="SectionBody"/>
        <w:rPr>
          <w:color w:val="auto"/>
        </w:rPr>
      </w:pPr>
      <w:bookmarkStart w:id="4" w:name="_Hlk96534492"/>
      <w:r w:rsidRPr="00D2453B">
        <w:rPr>
          <w:color w:val="auto"/>
        </w:rPr>
        <w:t>(F) This subdivision shall be effective for all assessments made on or after July 1, 2022</w:t>
      </w:r>
      <w:r w:rsidR="00D2453B" w:rsidRPr="00D2453B">
        <w:rPr>
          <w:color w:val="auto"/>
        </w:rPr>
        <w:t>.</w:t>
      </w:r>
      <w:r w:rsidRPr="00D2453B">
        <w:rPr>
          <w:color w:val="auto"/>
        </w:rPr>
        <w:t xml:space="preserve"> </w:t>
      </w:r>
      <w:r w:rsidRPr="00D2453B">
        <w:rPr>
          <w:strike/>
          <w:color w:val="auto"/>
        </w:rPr>
        <w:t>and shall have no further force or effect for any assessments made on or after July 1, 2025, unless reenacted by the legislature</w:t>
      </w:r>
    </w:p>
    <w:p w14:paraId="0D81EAB7" w14:textId="77777777" w:rsidR="006D6840" w:rsidRPr="00D2453B" w:rsidRDefault="006D6840" w:rsidP="00F70E00">
      <w:pPr>
        <w:pStyle w:val="SectionBody"/>
        <w:rPr>
          <w:color w:val="auto"/>
        </w:rPr>
      </w:pPr>
      <w:r w:rsidRPr="00D2453B">
        <w:rPr>
          <w:color w:val="auto"/>
        </w:rPr>
        <w:t xml:space="preserve">(G) The Tax Commissioner shall propose rules required to administer this subdivision, including emergency rules, in accordance with §29A-3-1 </w:t>
      </w:r>
      <w:r w:rsidRPr="00D2453B">
        <w:rPr>
          <w:i/>
          <w:iCs/>
          <w:color w:val="auto"/>
        </w:rPr>
        <w:t>et seq.</w:t>
      </w:r>
      <w:r w:rsidRPr="00D2453B">
        <w:rPr>
          <w:color w:val="auto"/>
        </w:rPr>
        <w:t xml:space="preserve"> of this code, regarding valuation of property producing oil, natural gas, natural gas liquids, or any combination thereof.</w:t>
      </w:r>
    </w:p>
    <w:bookmarkEnd w:id="4"/>
    <w:p w14:paraId="4C163703" w14:textId="77777777" w:rsidR="006D6840" w:rsidRPr="00D2453B" w:rsidRDefault="006D6840" w:rsidP="00F70E00">
      <w:pPr>
        <w:pStyle w:val="SectionBody"/>
        <w:rPr>
          <w:color w:val="auto"/>
        </w:rPr>
      </w:pPr>
      <w:r w:rsidRPr="00D2453B">
        <w:rPr>
          <w:color w:val="auto"/>
        </w:rPr>
        <w:t>(e) The Tax Commissioner shall develop a plan for the valuation of industrial property and a plan for the valuation of natural resources property. The plans shall include expected costs and reimbursements, and shall be submitted to the property valuation training and procedures commission on or before January 1, 1991, for its approval on or before July 1, of such year. Such plan shall be revised, resubmitted to the commission and approved every three years thereafter.</w:t>
      </w:r>
    </w:p>
    <w:p w14:paraId="0B494157" w14:textId="77777777" w:rsidR="006D6840" w:rsidRPr="00D2453B" w:rsidRDefault="006D6840" w:rsidP="00F70E00">
      <w:pPr>
        <w:pStyle w:val="SectionBody"/>
        <w:rPr>
          <w:color w:val="auto"/>
        </w:rPr>
      </w:pPr>
      <w:r w:rsidRPr="00D2453B">
        <w:rPr>
          <w:color w:val="auto"/>
        </w:rPr>
        <w:t>(f) To perform the valuation duties under this section, the State Tax Commissioner has the authority to contract with a competent property appraisal firm or firms to assist with or to conduct the valuation process as to any discernible species of property statewide if the contract and the 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145C5284" w14:textId="77777777" w:rsidR="006D6840" w:rsidRPr="00D2453B" w:rsidRDefault="006D6840" w:rsidP="00F70E00">
      <w:pPr>
        <w:pStyle w:val="SectionBody"/>
        <w:rPr>
          <w:color w:val="auto"/>
        </w:rPr>
      </w:pPr>
      <w:r w:rsidRPr="00D2453B">
        <w:rPr>
          <w:color w:val="auto"/>
        </w:rPr>
        <w:t xml:space="preserve">(g) The county assessor may accept the appraisal provided, pursuant to this section, by the State Tax Commissioner: </w:t>
      </w:r>
      <w:r w:rsidRPr="00D2453B">
        <w:rPr>
          <w:i/>
          <w:color w:val="auto"/>
        </w:rPr>
        <w:t>Provided</w:t>
      </w:r>
      <w:r w:rsidRPr="00D2453B">
        <w:rPr>
          <w:iCs/>
          <w:color w:val="auto"/>
        </w:rPr>
        <w:t>,</w:t>
      </w:r>
      <w:r w:rsidRPr="00D2453B">
        <w:rPr>
          <w:color w:val="auto"/>
        </w:rPr>
        <w:t xml:space="preserve">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34D6565D" w14:textId="77777777" w:rsidR="006D6840" w:rsidRPr="00D2453B" w:rsidRDefault="006D6840" w:rsidP="00F70E00">
      <w:pPr>
        <w:pStyle w:val="SectionBody"/>
        <w:rPr>
          <w:color w:val="auto"/>
        </w:rPr>
      </w:pPr>
      <w:r w:rsidRPr="00D2453B">
        <w:rPr>
          <w:color w:val="auto"/>
        </w:rPr>
        <w:t xml:space="preserve">(h) The costs of appraising the industrial and natural resources property within each county, and any costs of defending same shall be paid by the state: </w:t>
      </w:r>
      <w:r w:rsidRPr="00D2453B">
        <w:rPr>
          <w:i/>
          <w:color w:val="auto"/>
        </w:rPr>
        <w:t>Provided</w:t>
      </w:r>
      <w:r w:rsidRPr="00D2453B">
        <w:rPr>
          <w:iCs/>
          <w:color w:val="auto"/>
        </w:rPr>
        <w:t>,</w:t>
      </w:r>
      <w:r w:rsidRPr="00D2453B">
        <w:rPr>
          <w:color w:val="auto"/>
        </w:rPr>
        <w:t xml:space="preserve"> That the office of the state Attorney General shall provide legal representation on behalf of the Tax Commissioner or assessor, at no cost, in the event the industrial and natural resources appraisal is challenged in court.</w:t>
      </w:r>
    </w:p>
    <w:p w14:paraId="1DBC0168" w14:textId="77777777" w:rsidR="006D6840" w:rsidRPr="00D2453B" w:rsidRDefault="006D6840" w:rsidP="00F70E00">
      <w:pPr>
        <w:pStyle w:val="SectionBody"/>
        <w:rPr>
          <w:color w:val="auto"/>
        </w:rPr>
      </w:pPr>
      <w:r w:rsidRPr="00D2453B">
        <w:rPr>
          <w:color w:val="auto"/>
        </w:rPr>
        <w:t>(i) For purposes of revaluing managed timberland as defined in section two of this article,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period of time in which to qualify the property. A property owner may appeal a disqualification to the circuit court of the county in which the property is located.</w:t>
      </w:r>
    </w:p>
    <w:p w14:paraId="4FA0D2E5" w14:textId="77777777" w:rsidR="006D6840" w:rsidRPr="00D2453B" w:rsidRDefault="006D6840" w:rsidP="00CC1F3B">
      <w:pPr>
        <w:pStyle w:val="SectionBody"/>
        <w:rPr>
          <w:color w:val="auto"/>
        </w:rPr>
        <w:sectPr w:rsidR="006D6840" w:rsidRPr="00D2453B" w:rsidSect="00ED1ABD">
          <w:type w:val="continuous"/>
          <w:pgSz w:w="12240" w:h="15840" w:code="1"/>
          <w:pgMar w:top="1440" w:right="1440" w:bottom="1440" w:left="1440" w:header="720" w:footer="720" w:gutter="0"/>
          <w:lnNumType w:countBy="1" w:restart="newSection"/>
          <w:cols w:space="720"/>
          <w:docGrid w:linePitch="360"/>
        </w:sectPr>
      </w:pPr>
    </w:p>
    <w:p w14:paraId="2779C2F9" w14:textId="77777777" w:rsidR="00C33014" w:rsidRPr="00D2453B" w:rsidRDefault="00C33014" w:rsidP="00CC1F3B">
      <w:pPr>
        <w:pStyle w:val="Note"/>
        <w:rPr>
          <w:color w:val="auto"/>
        </w:rPr>
      </w:pPr>
    </w:p>
    <w:p w14:paraId="0539A426" w14:textId="29157A21" w:rsidR="006865E9" w:rsidRPr="00D2453B" w:rsidRDefault="00CF1DCA" w:rsidP="00CC1F3B">
      <w:pPr>
        <w:pStyle w:val="Note"/>
        <w:rPr>
          <w:color w:val="auto"/>
        </w:rPr>
      </w:pPr>
      <w:r w:rsidRPr="00D2453B">
        <w:rPr>
          <w:color w:val="auto"/>
        </w:rPr>
        <w:t>NOTE: The</w:t>
      </w:r>
      <w:r w:rsidR="006865E9" w:rsidRPr="00D2453B">
        <w:rPr>
          <w:color w:val="auto"/>
        </w:rPr>
        <w:t xml:space="preserve"> purpose of this bill is to </w:t>
      </w:r>
      <w:r w:rsidR="006C3029" w:rsidRPr="00D2453B">
        <w:rPr>
          <w:color w:val="auto"/>
        </w:rPr>
        <w:t>provide that valuation of industrial property and natural resources property by Tax Commissioner interest may not exceed the average actual sale price of similarly situated and like royalty interests; and that this subdivision shall be effective for all assessments made on or after July 1, 2022.</w:t>
      </w:r>
    </w:p>
    <w:p w14:paraId="0F5B098B" w14:textId="77777777" w:rsidR="006865E9" w:rsidRPr="00D2453B" w:rsidRDefault="00AE48A0" w:rsidP="00CC1F3B">
      <w:pPr>
        <w:pStyle w:val="Note"/>
        <w:rPr>
          <w:color w:val="auto"/>
        </w:rPr>
      </w:pPr>
      <w:r w:rsidRPr="00D2453B">
        <w:rPr>
          <w:color w:val="auto"/>
        </w:rPr>
        <w:t>Strike-throughs indicate language that would be stricken from a heading or the present law and underscoring indicates new language that would be added.</w:t>
      </w:r>
    </w:p>
    <w:sectPr w:rsidR="006865E9" w:rsidRPr="00D2453B" w:rsidSect="00ED1A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333A" w14:textId="77777777" w:rsidR="00C71809" w:rsidRPr="00B844FE" w:rsidRDefault="00C71809" w:rsidP="00B844FE">
      <w:r>
        <w:separator/>
      </w:r>
    </w:p>
  </w:endnote>
  <w:endnote w:type="continuationSeparator" w:id="0">
    <w:p w14:paraId="7EE9BCE6" w14:textId="77777777" w:rsidR="00C71809" w:rsidRPr="00B844FE" w:rsidRDefault="00C718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EE6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A84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FAF5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D4C4" w14:textId="77777777" w:rsidR="00C71809" w:rsidRPr="00B844FE" w:rsidRDefault="00C71809" w:rsidP="00B844FE">
      <w:r>
        <w:separator/>
      </w:r>
    </w:p>
  </w:footnote>
  <w:footnote w:type="continuationSeparator" w:id="0">
    <w:p w14:paraId="57BC5601" w14:textId="77777777" w:rsidR="00C71809" w:rsidRPr="00B844FE" w:rsidRDefault="00C718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CCF2" w14:textId="77777777" w:rsidR="002A0269" w:rsidRPr="00B844FE" w:rsidRDefault="003D5635">
    <w:pPr>
      <w:pStyle w:val="Header"/>
    </w:pPr>
    <w:sdt>
      <w:sdtPr>
        <w:id w:val="-684364211"/>
        <w:placeholder>
          <w:docPart w:val="83AF4251B1B446419AA5EB5C0D5CA9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AF4251B1B446419AA5EB5C0D5CA9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38AE" w14:textId="360411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80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809">
          <w:rPr>
            <w:sz w:val="22"/>
            <w:szCs w:val="22"/>
          </w:rPr>
          <w:t>2023R3496</w:t>
        </w:r>
      </w:sdtContent>
    </w:sdt>
  </w:p>
  <w:p w14:paraId="474D3B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9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60075011">
    <w:abstractNumId w:val="0"/>
  </w:num>
  <w:num w:numId="2" w16cid:durableId="17834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09"/>
    <w:rsid w:val="0000526A"/>
    <w:rsid w:val="000573A9"/>
    <w:rsid w:val="00085D22"/>
    <w:rsid w:val="00093AB0"/>
    <w:rsid w:val="000C5C77"/>
    <w:rsid w:val="000E3912"/>
    <w:rsid w:val="0010070F"/>
    <w:rsid w:val="001465B8"/>
    <w:rsid w:val="0015112E"/>
    <w:rsid w:val="001552E7"/>
    <w:rsid w:val="001566B4"/>
    <w:rsid w:val="001A66B7"/>
    <w:rsid w:val="001C279E"/>
    <w:rsid w:val="001D459E"/>
    <w:rsid w:val="00217A9D"/>
    <w:rsid w:val="0022348D"/>
    <w:rsid w:val="0027011C"/>
    <w:rsid w:val="00274200"/>
    <w:rsid w:val="00275740"/>
    <w:rsid w:val="002A0269"/>
    <w:rsid w:val="00303684"/>
    <w:rsid w:val="003143F5"/>
    <w:rsid w:val="00314854"/>
    <w:rsid w:val="00394191"/>
    <w:rsid w:val="003C51CD"/>
    <w:rsid w:val="003C6034"/>
    <w:rsid w:val="003D5635"/>
    <w:rsid w:val="00400B5C"/>
    <w:rsid w:val="004368E0"/>
    <w:rsid w:val="004C13DD"/>
    <w:rsid w:val="004D3ABE"/>
    <w:rsid w:val="004E3441"/>
    <w:rsid w:val="00500579"/>
    <w:rsid w:val="0058061B"/>
    <w:rsid w:val="005A5366"/>
    <w:rsid w:val="005C5348"/>
    <w:rsid w:val="006369EB"/>
    <w:rsid w:val="00637E73"/>
    <w:rsid w:val="006865E9"/>
    <w:rsid w:val="00686E9A"/>
    <w:rsid w:val="00691F3E"/>
    <w:rsid w:val="00694BFB"/>
    <w:rsid w:val="006A106B"/>
    <w:rsid w:val="006C3029"/>
    <w:rsid w:val="006C523D"/>
    <w:rsid w:val="006D4036"/>
    <w:rsid w:val="006D6840"/>
    <w:rsid w:val="007A5259"/>
    <w:rsid w:val="007A7081"/>
    <w:rsid w:val="007F1CF5"/>
    <w:rsid w:val="00834EDE"/>
    <w:rsid w:val="00863986"/>
    <w:rsid w:val="008736AA"/>
    <w:rsid w:val="008D275D"/>
    <w:rsid w:val="00980327"/>
    <w:rsid w:val="00986478"/>
    <w:rsid w:val="009B5557"/>
    <w:rsid w:val="009D73F2"/>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1809"/>
    <w:rsid w:val="00C85096"/>
    <w:rsid w:val="00CB20EF"/>
    <w:rsid w:val="00CC1F3B"/>
    <w:rsid w:val="00CD12CB"/>
    <w:rsid w:val="00CD36CF"/>
    <w:rsid w:val="00CF1DCA"/>
    <w:rsid w:val="00D2453B"/>
    <w:rsid w:val="00D46996"/>
    <w:rsid w:val="00D579FC"/>
    <w:rsid w:val="00D81C16"/>
    <w:rsid w:val="00DE526B"/>
    <w:rsid w:val="00DF199D"/>
    <w:rsid w:val="00E01542"/>
    <w:rsid w:val="00E365F1"/>
    <w:rsid w:val="00E62F48"/>
    <w:rsid w:val="00E831B3"/>
    <w:rsid w:val="00E95FBC"/>
    <w:rsid w:val="00EC5E63"/>
    <w:rsid w:val="00ED1ABD"/>
    <w:rsid w:val="00EE70CB"/>
    <w:rsid w:val="00F41CA2"/>
    <w:rsid w:val="00F443C0"/>
    <w:rsid w:val="00F62EFB"/>
    <w:rsid w:val="00F939A4"/>
    <w:rsid w:val="00FA7B09"/>
    <w:rsid w:val="00FA7C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E398"/>
  <w15:chartTrackingRefBased/>
  <w15:docId w15:val="{54A8F954-0C94-4D7E-A7D6-DED3472C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6840"/>
    <w:rPr>
      <w:rFonts w:eastAsia="Calibri"/>
      <w:b/>
      <w:caps/>
      <w:color w:val="000000"/>
      <w:sz w:val="24"/>
    </w:rPr>
  </w:style>
  <w:style w:type="character" w:customStyle="1" w:styleId="SectionBodyChar">
    <w:name w:val="Section Body Char"/>
    <w:link w:val="SectionBody"/>
    <w:rsid w:val="006D6840"/>
    <w:rPr>
      <w:rFonts w:eastAsia="Calibri"/>
      <w:color w:val="000000"/>
    </w:rPr>
  </w:style>
  <w:style w:type="character" w:customStyle="1" w:styleId="SectionHeadingChar">
    <w:name w:val="Section Heading Char"/>
    <w:link w:val="SectionHeading"/>
    <w:rsid w:val="006D68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7FC9904D24EFFB7E1674D04CC975F"/>
        <w:category>
          <w:name w:val="General"/>
          <w:gallery w:val="placeholder"/>
        </w:category>
        <w:types>
          <w:type w:val="bbPlcHdr"/>
        </w:types>
        <w:behaviors>
          <w:behavior w:val="content"/>
        </w:behaviors>
        <w:guid w:val="{BAC58D20-DC39-4F21-9667-6F33A4D23625}"/>
      </w:docPartPr>
      <w:docPartBody>
        <w:p w:rsidR="00FE4EB1" w:rsidRDefault="00FE4EB1">
          <w:pPr>
            <w:pStyle w:val="C8F7FC9904D24EFFB7E1674D04CC975F"/>
          </w:pPr>
          <w:r w:rsidRPr="00B844FE">
            <w:t>Prefix Text</w:t>
          </w:r>
        </w:p>
      </w:docPartBody>
    </w:docPart>
    <w:docPart>
      <w:docPartPr>
        <w:name w:val="83AF4251B1B446419AA5EB5C0D5CA91E"/>
        <w:category>
          <w:name w:val="General"/>
          <w:gallery w:val="placeholder"/>
        </w:category>
        <w:types>
          <w:type w:val="bbPlcHdr"/>
        </w:types>
        <w:behaviors>
          <w:behavior w:val="content"/>
        </w:behaviors>
        <w:guid w:val="{72A18232-6D08-4799-8C3D-6F8B8B4F70C8}"/>
      </w:docPartPr>
      <w:docPartBody>
        <w:p w:rsidR="00FE4EB1" w:rsidRDefault="00FE4EB1">
          <w:pPr>
            <w:pStyle w:val="83AF4251B1B446419AA5EB5C0D5CA91E"/>
          </w:pPr>
          <w:r w:rsidRPr="00B844FE">
            <w:t>[Type here]</w:t>
          </w:r>
        </w:p>
      </w:docPartBody>
    </w:docPart>
    <w:docPart>
      <w:docPartPr>
        <w:name w:val="AB1BA05DA3F0433EA3AF6D6C177376D8"/>
        <w:category>
          <w:name w:val="General"/>
          <w:gallery w:val="placeholder"/>
        </w:category>
        <w:types>
          <w:type w:val="bbPlcHdr"/>
        </w:types>
        <w:behaviors>
          <w:behavior w:val="content"/>
        </w:behaviors>
        <w:guid w:val="{BA899CE6-CF4D-4B97-925E-F249DE0BCD28}"/>
      </w:docPartPr>
      <w:docPartBody>
        <w:p w:rsidR="00FE4EB1" w:rsidRDefault="00FE4EB1">
          <w:pPr>
            <w:pStyle w:val="AB1BA05DA3F0433EA3AF6D6C177376D8"/>
          </w:pPr>
          <w:r w:rsidRPr="00B844FE">
            <w:t>Number</w:t>
          </w:r>
        </w:p>
      </w:docPartBody>
    </w:docPart>
    <w:docPart>
      <w:docPartPr>
        <w:name w:val="416534595D1143FA81A5EBD0C5B756A4"/>
        <w:category>
          <w:name w:val="General"/>
          <w:gallery w:val="placeholder"/>
        </w:category>
        <w:types>
          <w:type w:val="bbPlcHdr"/>
        </w:types>
        <w:behaviors>
          <w:behavior w:val="content"/>
        </w:behaviors>
        <w:guid w:val="{6543D9F5-E685-400C-B304-D094C8577778}"/>
      </w:docPartPr>
      <w:docPartBody>
        <w:p w:rsidR="00FE4EB1" w:rsidRDefault="00FE4EB1">
          <w:pPr>
            <w:pStyle w:val="416534595D1143FA81A5EBD0C5B756A4"/>
          </w:pPr>
          <w:r w:rsidRPr="00B844FE">
            <w:t>Enter Sponsors Here</w:t>
          </w:r>
        </w:p>
      </w:docPartBody>
    </w:docPart>
    <w:docPart>
      <w:docPartPr>
        <w:name w:val="DAC3F033177244E7B4F0860564599429"/>
        <w:category>
          <w:name w:val="General"/>
          <w:gallery w:val="placeholder"/>
        </w:category>
        <w:types>
          <w:type w:val="bbPlcHdr"/>
        </w:types>
        <w:behaviors>
          <w:behavior w:val="content"/>
        </w:behaviors>
        <w:guid w:val="{7ACAB93E-2354-4A2C-A52F-1E3894F48FAF}"/>
      </w:docPartPr>
      <w:docPartBody>
        <w:p w:rsidR="00FE4EB1" w:rsidRDefault="00FE4EB1">
          <w:pPr>
            <w:pStyle w:val="DAC3F033177244E7B4F08605645994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B1"/>
    <w:rsid w:val="00FE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F7FC9904D24EFFB7E1674D04CC975F">
    <w:name w:val="C8F7FC9904D24EFFB7E1674D04CC975F"/>
  </w:style>
  <w:style w:type="paragraph" w:customStyle="1" w:styleId="83AF4251B1B446419AA5EB5C0D5CA91E">
    <w:name w:val="83AF4251B1B446419AA5EB5C0D5CA91E"/>
  </w:style>
  <w:style w:type="paragraph" w:customStyle="1" w:styleId="AB1BA05DA3F0433EA3AF6D6C177376D8">
    <w:name w:val="AB1BA05DA3F0433EA3AF6D6C177376D8"/>
  </w:style>
  <w:style w:type="paragraph" w:customStyle="1" w:styleId="416534595D1143FA81A5EBD0C5B756A4">
    <w:name w:val="416534595D1143FA81A5EBD0C5B756A4"/>
  </w:style>
  <w:style w:type="character" w:styleId="PlaceholderText">
    <w:name w:val="Placeholder Text"/>
    <w:basedOn w:val="DefaultParagraphFont"/>
    <w:uiPriority w:val="99"/>
    <w:semiHidden/>
    <w:rPr>
      <w:color w:val="808080"/>
    </w:rPr>
  </w:style>
  <w:style w:type="paragraph" w:customStyle="1" w:styleId="DAC3F033177244E7B4F0860564599429">
    <w:name w:val="DAC3F033177244E7B4F0860564599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2023-02-08T14:24:00Z</dcterms:created>
  <dcterms:modified xsi:type="dcterms:W3CDTF">2023-02-08T14:24:00Z</dcterms:modified>
</cp:coreProperties>
</file>